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DA6974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50426927">
      <w:pPr>
        <w:spacing w:line="600" w:lineRule="exact"/>
        <w:jc w:val="center"/>
        <w:outlineLvl w:val="0"/>
        <w:rPr>
          <w:rFonts w:ascii="仿宋" w:hAnsi="仿宋" w:eastAsia="仿宋"/>
          <w:b/>
          <w:bCs/>
          <w:szCs w:val="32"/>
        </w:rPr>
      </w:pPr>
      <w:r>
        <w:rPr>
          <w:rFonts w:ascii="仿宋" w:hAnsi="仿宋" w:eastAsia="仿宋"/>
          <w:b/>
          <w:bCs/>
          <w:szCs w:val="32"/>
        </w:rPr>
        <w:t>“</w:t>
      </w:r>
      <w:r>
        <w:rPr>
          <w:rFonts w:hint="eastAsia" w:ascii="仿宋" w:hAnsi="仿宋" w:eastAsia="仿宋"/>
          <w:b/>
          <w:bCs/>
          <w:szCs w:val="32"/>
        </w:rPr>
        <w:t>大学物理（近代物理）</w:t>
      </w:r>
      <w:r>
        <w:rPr>
          <w:rFonts w:ascii="仿宋" w:hAnsi="仿宋" w:eastAsia="仿宋"/>
          <w:b/>
          <w:bCs/>
          <w:szCs w:val="32"/>
        </w:rPr>
        <w:t>”骨干教师技能培训班的通知</w:t>
      </w:r>
    </w:p>
    <w:p w14:paraId="0BDACB35">
      <w:pPr>
        <w:spacing w:line="360" w:lineRule="exact"/>
        <w:jc w:val="center"/>
        <w:outlineLvl w:val="0"/>
        <w:rPr>
          <w:rFonts w:ascii="Times New Roman"/>
          <w:b/>
          <w:bCs/>
          <w:szCs w:val="32"/>
        </w:rPr>
      </w:pPr>
    </w:p>
    <w:p w14:paraId="363D44A9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33BCFA86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背景下复合型师资团队建设的需要，教师通过培训了解产业和技术变革的现状，同时增强适应新产业发展的工程实践能力，更好地为物理应用事业培养应用型与技能型人才服务， “天煌教仪”拟举办2025年全国高等学校 “大学物理</w:t>
      </w:r>
      <w:r>
        <w:rPr>
          <w:rFonts w:hint="eastAsia" w:ascii="仿宋" w:hAnsi="仿宋" w:eastAsia="仿宋"/>
          <w:bCs/>
          <w:sz w:val="28"/>
          <w:szCs w:val="28"/>
        </w:rPr>
        <w:t>（近代物理）</w:t>
      </w:r>
      <w:r>
        <w:rPr>
          <w:rFonts w:hint="eastAsia" w:ascii="仿宋" w:hAnsi="仿宋" w:eastAsia="仿宋"/>
          <w:bCs/>
          <w:sz w:val="30"/>
          <w:szCs w:val="30"/>
        </w:rPr>
        <w:t>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4D5C650F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3E3B7585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4CABE468">
      <w:pPr>
        <w:ind w:firstLine="750" w:firstLineChars="25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 “THQFH-4B型智能夫兰克-赫兹实验仪”、“THQMD-3型智能CCD密立根油滴实验仪” 、“THQTN-4型太阳能电池基本特性测量实验仪”、“THQBE-3型波尔共振实验仪”、“THQDG-3型液晶电光效应综合实验仪”的设备功能、实验项目、操作注意事项等实验项目开展培训。</w:t>
      </w:r>
    </w:p>
    <w:p w14:paraId="624D40E8">
      <w:pPr>
        <w:spacing w:line="380" w:lineRule="exact"/>
        <w:ind w:left="-698" w:leftChars="-218" w:firstLine="1149" w:firstLineChars="383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</w:t>
      </w:r>
      <w:r>
        <w:rPr>
          <w:rFonts w:ascii="仿宋" w:hAnsi="仿宋" w:eastAsia="仿宋"/>
          <w:bCs/>
          <w:sz w:val="30"/>
          <w:szCs w:val="30"/>
        </w:rPr>
        <w:t>分技术培训、设备培训、实操训练，理论授课与实操相结</w:t>
      </w:r>
    </w:p>
    <w:p w14:paraId="1ED22386">
      <w:r>
        <w:rPr>
          <w:rFonts w:ascii="仿宋" w:hAnsi="仿宋" w:eastAsia="仿宋"/>
          <w:bCs/>
          <w:sz w:val="30"/>
          <w:szCs w:val="30"/>
        </w:rPr>
        <w:t>合</w:t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55618615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25400</wp:posOffset>
            </wp:positionV>
            <wp:extent cx="5334000" cy="2735580"/>
            <wp:effectExtent l="0" t="0" r="0" b="0"/>
            <wp:wrapNone/>
            <wp:docPr id="5" name="图片 5" descr="K:\2024年总目录修改资料20241101\总目录用图（需要P图）\D11\THQFH-4B型 弗兰克-赫兹实验仪\THQFH-4B型 智能夫兰克-赫兹实验仪（正视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:\2024年总目录修改资料20241101\总目录用图（需要P图）\D11\THQFH-4B型 弗兰克-赫兹实验仪\THQFH-4B型 智能夫兰克-赫兹实验仪（正视）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9B0D2D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562472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9D9612A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61768424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394B3C1C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352D9C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F798413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4AE9855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5D65D00B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48A5B3BA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09594F3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0A5AD86F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44296D47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THQFH-4B型智能夫兰克-赫兹实验仪</w:t>
      </w:r>
    </w:p>
    <w:p w14:paraId="14A11A6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采用慢电子与氩原子碰撞进行能量交换的方法，使氩原子从低能级跃迁到高能级，通过观测原子内部能量变化，测定氩原子的第一激发电势，间接证明原子能级的存在。</w:t>
      </w:r>
    </w:p>
    <w:p w14:paraId="7558ECC6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二、技术性能</w:t>
      </w:r>
    </w:p>
    <w:p w14:paraId="44F209D3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1.弗兰克-赫兹管：充氩气，带背光板照明，面板开窗，可清楚观察管结构</w:t>
      </w:r>
    </w:p>
    <w:p w14:paraId="28F4926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2.微电流测量范围：0.001nA～1.999μA</w:t>
      </w:r>
    </w:p>
    <w:p w14:paraId="52BF2DC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3.弗兰克管四路直流工作电压</w:t>
      </w:r>
    </w:p>
    <w:p w14:paraId="6DFD66FC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4.采用彩色液晶触摸屏显示取代传统数码管显示，采用菜单设计及触摸按键设计，增加数据和曲线动态显示，具有实验曲线显示功能</w:t>
      </w:r>
    </w:p>
    <w:p w14:paraId="08D6ED76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5.能通过示波器或彩色触摸屏观察板极电流与加速电压的关系曲线</w:t>
      </w:r>
    </w:p>
    <w:p w14:paraId="31964D09">
      <w:pPr>
        <w:rPr>
          <w:bCs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127635</wp:posOffset>
            </wp:positionV>
            <wp:extent cx="4692650" cy="3323590"/>
            <wp:effectExtent l="0" t="0" r="0" b="0"/>
            <wp:wrapNone/>
            <wp:docPr id="292" name="图片 292" descr="C:\Users\Administrator\Desktop\做典型产品彩页产品2023.9.20\典型产品彩页第二版要做的设备(图片已处理最新2023.9.23)\物理图片（最后更换图片命名即可最新）\（14）THQMD-2A型 CCD显微密立根油滴实验仪\THQMD-3型 智能CCD密立根油滴实验仪\THQMD-3型 智能CCD密立根油滴实验仪（整体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C:\Users\Administrator\Desktop\做典型产品彩页产品2023.9.20\典型产品彩页第二版要做的设备(图片已处理最新2023.9.23)\物理图片（最后更换图片命名即可最新）\（14）THQMD-2A型 CCD显微密立根油滴实验仪\THQMD-3型 智能CCD密立根油滴实验仪\THQMD-3型 智能CCD密立根油滴实验仪（整体）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BC2D6">
      <w:pPr>
        <w:jc w:val="center"/>
        <w:rPr>
          <w:b/>
          <w:sz w:val="30"/>
          <w:szCs w:val="30"/>
        </w:rPr>
      </w:pPr>
    </w:p>
    <w:p w14:paraId="2765DC0D">
      <w:pPr>
        <w:jc w:val="center"/>
        <w:rPr>
          <w:b/>
          <w:sz w:val="30"/>
          <w:szCs w:val="30"/>
        </w:rPr>
      </w:pPr>
    </w:p>
    <w:p w14:paraId="3FAF01E3">
      <w:pPr>
        <w:jc w:val="center"/>
        <w:rPr>
          <w:b/>
          <w:sz w:val="30"/>
          <w:szCs w:val="30"/>
        </w:rPr>
      </w:pPr>
    </w:p>
    <w:p w14:paraId="28F4512A">
      <w:pPr>
        <w:jc w:val="center"/>
        <w:rPr>
          <w:b/>
          <w:sz w:val="30"/>
          <w:szCs w:val="30"/>
        </w:rPr>
      </w:pPr>
    </w:p>
    <w:p w14:paraId="6B0D1DF7">
      <w:pPr>
        <w:jc w:val="center"/>
        <w:rPr>
          <w:b/>
          <w:sz w:val="30"/>
          <w:szCs w:val="30"/>
        </w:rPr>
      </w:pPr>
    </w:p>
    <w:p w14:paraId="1B697A01">
      <w:pPr>
        <w:jc w:val="center"/>
        <w:rPr>
          <w:b/>
          <w:sz w:val="30"/>
          <w:szCs w:val="30"/>
        </w:rPr>
      </w:pPr>
    </w:p>
    <w:p w14:paraId="5B1CDE17">
      <w:pPr>
        <w:jc w:val="center"/>
        <w:rPr>
          <w:b/>
          <w:sz w:val="30"/>
          <w:szCs w:val="30"/>
        </w:rPr>
      </w:pPr>
    </w:p>
    <w:p w14:paraId="0127073D">
      <w:pPr>
        <w:jc w:val="center"/>
        <w:rPr>
          <w:b/>
          <w:sz w:val="30"/>
          <w:szCs w:val="30"/>
        </w:rPr>
      </w:pPr>
    </w:p>
    <w:p w14:paraId="76A62FF3">
      <w:pPr>
        <w:jc w:val="center"/>
        <w:rPr>
          <w:b/>
          <w:sz w:val="30"/>
          <w:szCs w:val="30"/>
        </w:rPr>
      </w:pPr>
    </w:p>
    <w:p w14:paraId="374ACA35">
      <w:pPr>
        <w:jc w:val="center"/>
        <w:rPr>
          <w:b/>
          <w:sz w:val="30"/>
          <w:szCs w:val="30"/>
        </w:rPr>
      </w:pPr>
    </w:p>
    <w:p w14:paraId="575590C1">
      <w:pPr>
        <w:jc w:val="center"/>
        <w:rPr>
          <w:b/>
          <w:sz w:val="30"/>
          <w:szCs w:val="30"/>
        </w:rPr>
      </w:pPr>
    </w:p>
    <w:p w14:paraId="28C28AA6">
      <w:pPr>
        <w:jc w:val="center"/>
        <w:rPr>
          <w:b/>
          <w:sz w:val="30"/>
          <w:szCs w:val="30"/>
        </w:rPr>
      </w:pPr>
    </w:p>
    <w:p w14:paraId="108A71D9">
      <w:pPr>
        <w:jc w:val="center"/>
        <w:rPr>
          <w:b/>
          <w:sz w:val="30"/>
          <w:szCs w:val="30"/>
        </w:rPr>
      </w:pPr>
    </w:p>
    <w:p w14:paraId="2A36B7E9">
      <w:pPr>
        <w:jc w:val="center"/>
        <w:rPr>
          <w:b/>
          <w:sz w:val="30"/>
          <w:szCs w:val="30"/>
        </w:rPr>
      </w:pPr>
    </w:p>
    <w:p w14:paraId="06F9F18C">
      <w:pPr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THQMD-3型 智能CCD密立根油滴实验仪</w:t>
      </w:r>
    </w:p>
    <w:p w14:paraId="3E73A8EF">
      <w:pPr>
        <w:ind w:firstLine="594" w:firstLineChars="198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本仪器采用电子网格显示系统，配合专用软件可以实现自动测量和数据处理。</w:t>
      </w:r>
    </w:p>
    <w:p w14:paraId="3FBC6044"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二、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配置及技术性能</w:t>
      </w:r>
    </w:p>
    <w:p w14:paraId="654C6881"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平行极板间距：5.0mm         2.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CCD测量显微镜放大倍率：60倍</w:t>
      </w:r>
    </w:p>
    <w:p w14:paraId="36CE05C2"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连续跟踪带电油滴时间：＞2h</w:t>
      </w:r>
    </w:p>
    <w:p w14:paraId="3DC143D4">
      <w:pPr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4.</w:t>
      </w: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微机处理显示系统使仪器操作更简便，数据处理功能更强大</w:t>
      </w:r>
    </w:p>
    <w:p w14:paraId="48516653">
      <w:pPr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188595</wp:posOffset>
            </wp:positionV>
            <wp:extent cx="2456180" cy="3014980"/>
            <wp:effectExtent l="0" t="0" r="0" b="0"/>
            <wp:wrapNone/>
            <wp:docPr id="297" name="图片 297" descr="K:\2024年11月11日修改典型产品彩页资料\典型产品计划增加的产品资料\THQTN-4型太阳能电池基本特性测量实验仪\THQTN-4型太阳能电池基本特性测量实验仪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 descr="K:\2024年11月11日修改典型产品彩页资料\典型产品计划增加的产品资料\THQTN-4型太阳能电池基本特性测量实验仪\THQTN-4型太阳能电池基本特性测量实验仪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3" t="2643" r="20397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7ED54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69850</wp:posOffset>
            </wp:positionV>
            <wp:extent cx="3999230" cy="3000375"/>
            <wp:effectExtent l="0" t="0" r="0" b="0"/>
            <wp:wrapNone/>
            <wp:docPr id="299" name="图片 299" descr="K:\2024年11月11日修改典型产品彩页资料\典型产品计划增加的产品资料\THQTN-4型太阳能电池基本特性测量实验仪\THQTN-4型太阳能电池基本特性测量实验仪-2  11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 descr="K:\2024年11月11日修改典型产品彩页资料\典型产品计划增加的产品资料\THQTN-4型太阳能电池基本特性测量实验仪\THQTN-4型太阳能电池基本特性测量实验仪-2  11.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71589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4F6D2EF2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0C153A98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123E9AA3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478C9B1C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71BFF058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127EF4E2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58475890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192254D7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79435349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07B8EF4A">
      <w:pPr>
        <w:spacing w:line="360" w:lineRule="exact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THQTN-4型 太阳能电池基本特性测量实验仪</w:t>
      </w:r>
    </w:p>
    <w:p w14:paraId="4F948A7C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4E719329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本仪器采用白炽灯在实验室模拟太阳光，太阳能电池板安装在滑动导轨上，通过光功率计测量光功率，可以测量太阳能电池的伏安特性和转换效率。</w:t>
      </w:r>
    </w:p>
    <w:p w14:paraId="0AC5835C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3BFB8FA9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983BF54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113665</wp:posOffset>
            </wp:positionV>
            <wp:extent cx="3042920" cy="2375535"/>
            <wp:effectExtent l="0" t="0" r="0" b="0"/>
            <wp:wrapNone/>
            <wp:docPr id="4" name="图片 4" descr="C:\Users\Administrator\Desktop\物理拍照\THQBE-3波尔共振实验仪\THQBE-3波尔共振实验仪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物理拍照\THQBE-3波尔共振实验仪\THQBE-3波尔共振实验仪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" t="3194" r="3427" b="4940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6311E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110490</wp:posOffset>
            </wp:positionV>
            <wp:extent cx="3937635" cy="2152650"/>
            <wp:effectExtent l="0" t="0" r="0" b="0"/>
            <wp:wrapNone/>
            <wp:docPr id="1" name="图片 1" descr="C:\Users\Administrator\Desktop\物理拍照\THQBE-3波尔共振实验仪\THQBE-3波尔共振实验仪-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物理拍照\THQBE-3波尔共振实验仪\THQBE-3波尔共振实验仪-1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4620" r="2899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A86B89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5AD74DC0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4AA93EE9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1F689242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6E49A704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395F1339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24E6D590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12FBEB8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6816B298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2102D614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32A0F5F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THQBE-3型波尔共振实验仪</w:t>
      </w:r>
    </w:p>
    <w:p w14:paraId="21879A9C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本仪器通过实验可定性观察到阻尼受迫振动现象，测量受迫振动的振幅-频率关系及相位-频率关系。</w:t>
      </w:r>
    </w:p>
    <w:p w14:paraId="6859688F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77BCFB24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108585</wp:posOffset>
            </wp:positionV>
            <wp:extent cx="3790950" cy="4162425"/>
            <wp:effectExtent l="0" t="0" r="0" b="0"/>
            <wp:wrapNone/>
            <wp:docPr id="7" name="图片 7" descr="C:\Users\Administrator\Desktop\物理拍照\THQDG-3B型液晶电光效应综合实验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物理拍照\THQDG-3B型液晶电光效应综合实验仪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4330" r="2545" b="556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7366CE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617206A6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8A33F68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4399DBC0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1A3821E5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726EBF3A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60ABC5EF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661BE7BA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E0CF6BC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777337EF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2E1C8A60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525DBA0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18C9EF04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3755B2A3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0E64F181">
      <w:pPr>
        <w:spacing w:line="360" w:lineRule="exact"/>
        <w:ind w:firstLine="600" w:firstLineChars="200"/>
        <w:jc w:val="left"/>
        <w:rPr>
          <w:rFonts w:hint="eastAsia" w:ascii="仿宋" w:hAnsi="仿宋" w:eastAsia="仿宋"/>
          <w:bCs/>
          <w:sz w:val="30"/>
          <w:szCs w:val="30"/>
        </w:rPr>
      </w:pPr>
    </w:p>
    <w:p w14:paraId="7488F4FC">
      <w:pPr>
        <w:spacing w:line="360" w:lineRule="exact"/>
        <w:ind w:firstLine="600" w:firstLineChars="200"/>
        <w:jc w:val="left"/>
        <w:rPr>
          <w:rFonts w:ascii="仿宋" w:hAnsi="仿宋" w:eastAsia="仿宋"/>
          <w:bCs/>
          <w:sz w:val="30"/>
          <w:szCs w:val="30"/>
        </w:rPr>
      </w:pPr>
    </w:p>
    <w:p w14:paraId="4E88BFDA">
      <w:pPr>
        <w:spacing w:line="38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THQDG-3型液晶电光效应综合实验仪</w:t>
      </w:r>
    </w:p>
    <w:p w14:paraId="078ECC4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本仪器采用大面积的点阵液晶屏，可以开展测量液晶光开关的电光特性曲线；测量液晶的视角特性及不同视角下的对比度，了解液晶光开关的工作条件；学习并掌握液晶光开关构成显示矩阵的原理及方法。</w:t>
      </w:r>
    </w:p>
    <w:p w14:paraId="524A9F1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7D8CD83E">
      <w:pPr>
        <w:spacing w:line="380" w:lineRule="exact"/>
        <w:ind w:firstLine="750" w:firstLineChars="2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全国高等学校“物理学”、“应用物理学”、“核物理”、“物理电子学”、“量子信息科学”等物理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相关专业课教师和实验指导教师，每个学校限报1～3人。</w:t>
      </w:r>
    </w:p>
    <w:p w14:paraId="049CB87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0D7A5549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第一期培训时间：2025年7月28日（周一）至8月3日（周日）,7月28日接站、报到，8月3日结业、送站。</w:t>
      </w:r>
    </w:p>
    <w:p w14:paraId="7DA068FB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第二期培训时间：2025年8月15日（周五）至8月21日（周四）,8月15日接站、报到，8月21日结业、送站。</w:t>
      </w:r>
    </w:p>
    <w:p w14:paraId="0D6134F8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报到及培训地点：浙江天煌科技实业有限公司</w:t>
      </w:r>
    </w:p>
    <w:p w14:paraId="44C97ACD">
      <w:pPr>
        <w:spacing w:line="380" w:lineRule="exac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注：</w:t>
      </w:r>
      <w:r>
        <w:rPr>
          <w:rFonts w:hint="eastAsia" w:ascii="仿宋" w:hAnsi="仿宋" w:eastAsia="仿宋"/>
          <w:sz w:val="30"/>
          <w:szCs w:val="30"/>
        </w:rPr>
        <w:t>（1）请准备参加培训班的院校尽快报名，第一期报名截止日期2025年7月23日（周三），第二期报名截止日期2025年8月11日（周一）；</w:t>
      </w:r>
    </w:p>
    <w:p w14:paraId="7E2079E3">
      <w:pPr>
        <w:spacing w:line="380" w:lineRule="exact"/>
        <w:ind w:left="630" w:leftChars="197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03CAF683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四、相关费用：</w:t>
      </w:r>
    </w:p>
    <w:p w14:paraId="575DE44D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2214FBA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71AF3F3A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20A1E26A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1F80F9A5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3A22A8C2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1CCC6B1D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72E17D81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41A63FD7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70985CF5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00F17C8E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417F2468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5E70E345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36AC769B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625A905A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1.请参加培训的老师按要求填写《2025年全国高等学校“大学物理</w:t>
      </w:r>
      <w:r>
        <w:rPr>
          <w:rFonts w:hint="eastAsia" w:ascii="仿宋" w:hAnsi="仿宋" w:eastAsia="仿宋"/>
          <w:bCs/>
          <w:sz w:val="28"/>
          <w:szCs w:val="28"/>
        </w:rPr>
        <w:t>（近代物理）</w:t>
      </w:r>
      <w:r>
        <w:rPr>
          <w:rFonts w:hint="eastAsia" w:ascii="仿宋" w:hAnsi="仿宋" w:eastAsia="仿宋"/>
          <w:bCs/>
          <w:sz w:val="30"/>
          <w:szCs w:val="30"/>
        </w:rPr>
        <w:t xml:space="preserve">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16F5DB56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40326CE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1F9413E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7EA3F730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472C4ED1">
      <w:pPr>
        <w:spacing w:line="380" w:lineRule="exact"/>
        <w:ind w:firstLine="594" w:firstLineChars="198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地址：浙江省杭州市西湖科技园区西园五路10号   </w:t>
      </w:r>
    </w:p>
    <w:p w14:paraId="7E7E55F3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邮编：310030</w:t>
      </w:r>
    </w:p>
    <w:p w14:paraId="1D008FEA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1F56D0FE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08D1E95C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3789CFF1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</w:p>
    <w:p w14:paraId="38E5196D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373BBF76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10D83B71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p w14:paraId="7CA6E071">
      <w:pPr>
        <w:autoSpaceDE w:val="0"/>
        <w:autoSpaceDN w:val="0"/>
        <w:adjustRightInd w:val="0"/>
        <w:spacing w:line="380" w:lineRule="exact"/>
        <w:ind w:firstLine="140" w:firstLineChars="50"/>
        <w:rPr>
          <w:rFonts w:ascii="仿宋" w:hAnsi="仿宋" w:eastAsia="仿宋"/>
          <w:b/>
          <w:bCs/>
          <w:spacing w:val="-14"/>
          <w:sz w:val="30"/>
          <w:szCs w:val="30"/>
        </w:rPr>
      </w:pPr>
      <w:bookmarkStart w:id="0" w:name="_GoBack"/>
      <w:bookmarkEnd w:id="0"/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94"/>
          <w:kern w:val="0"/>
          <w:sz w:val="30"/>
          <w:szCs w:val="30"/>
          <w:fitText w:val="8400" w:id="1217815949"/>
        </w:rPr>
        <w:t>2025年全国高等学校“大学物理</w:t>
      </w:r>
      <w:r>
        <w:rPr>
          <w:rFonts w:hint="eastAsia" w:ascii="仿宋" w:hAnsi="仿宋" w:eastAsia="仿宋"/>
          <w:b/>
          <w:bCs/>
          <w:spacing w:val="0"/>
          <w:w w:val="94"/>
          <w:kern w:val="0"/>
          <w:sz w:val="28"/>
          <w:szCs w:val="28"/>
          <w:fitText w:val="8400" w:id="1217815949"/>
        </w:rPr>
        <w:t>（近代物理）</w:t>
      </w:r>
      <w:r>
        <w:rPr>
          <w:rFonts w:hint="eastAsia" w:ascii="仿宋" w:hAnsi="仿宋" w:eastAsia="仿宋"/>
          <w:b/>
          <w:bCs/>
          <w:spacing w:val="0"/>
          <w:w w:val="94"/>
          <w:kern w:val="0"/>
          <w:sz w:val="30"/>
          <w:szCs w:val="30"/>
          <w:fitText w:val="8400" w:id="1217815949"/>
        </w:rPr>
        <w:t>”骨干教师技能培训</w:t>
      </w:r>
      <w:r>
        <w:rPr>
          <w:rFonts w:hint="eastAsia" w:ascii="仿宋" w:hAnsi="仿宋" w:eastAsia="仿宋"/>
          <w:b/>
          <w:bCs/>
          <w:spacing w:val="-5"/>
          <w:w w:val="94"/>
          <w:kern w:val="0"/>
          <w:sz w:val="30"/>
          <w:szCs w:val="30"/>
          <w:fitText w:val="8400" w:id="1217815949"/>
        </w:rPr>
        <w:t>班</w:t>
      </w:r>
    </w:p>
    <w:p w14:paraId="5FA024AA">
      <w:pPr>
        <w:spacing w:line="38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32BA83FB">
      <w:pPr>
        <w:spacing w:line="380" w:lineRule="exact"/>
        <w:jc w:val="center"/>
        <w:rPr>
          <w:rFonts w:ascii="Times New Roman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 </w:t>
      </w:r>
      <w:r>
        <w:rPr>
          <w:rFonts w:ascii="Times New Roman"/>
          <w:bCs/>
          <w:kern w:val="28"/>
          <w:sz w:val="28"/>
          <w:szCs w:val="28"/>
        </w:rPr>
        <w:t>(</w:t>
      </w:r>
      <w:r>
        <w:rPr>
          <w:rFonts w:ascii="Times New Roman"/>
          <w:bCs/>
          <w:spacing w:val="40"/>
          <w:kern w:val="28"/>
          <w:sz w:val="28"/>
          <w:szCs w:val="28"/>
        </w:rPr>
        <w:t>复印有</w:t>
      </w:r>
      <w:r>
        <w:rPr>
          <w:rFonts w:ascii="Times New Roman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78B6E75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071F53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19CFA86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652170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26C7738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236A09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27C5559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194B7A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96BDED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396486F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688E9EC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07A2FA9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21766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4A63CC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34C23D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643968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4A968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3DA4DF8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F2D668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6C4E089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5AD3CC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C19E40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2CB14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63D5AAE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82D1D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6177A47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1733F7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C85B26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D40C7E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31BE7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4712C8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9F5C5B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97648F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1F12C51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4512AE5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653678B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EFD459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0DB93B2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CE2A51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D90A5C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D48256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2B32A02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E8D4D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28633A2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ADA875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B030CE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AA65AB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6BF894D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196373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297ADB0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52EA5A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EE239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D0CC12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C38B71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BACC9D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76C996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346594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70D4A1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036DCED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74C84BE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39A8A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2B7A2D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F6B188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7F405A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F9E9BC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6E62BA6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8589D8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57201E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2E6ECC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88F557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0ED482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3250C2E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76EA81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22199A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CC34D7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53EB99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25B9CB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B251C6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4BC3E8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125058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790A21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2" w:hRule="exact"/>
          <w:jc w:val="center"/>
        </w:trPr>
        <w:tc>
          <w:tcPr>
            <w:tcW w:w="1714" w:type="dxa"/>
            <w:vAlign w:val="center"/>
          </w:tcPr>
          <w:p w14:paraId="074D5841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01857E94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4D10D6C1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4349D2A6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56A6282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0" w:hRule="exact"/>
          <w:jc w:val="center"/>
        </w:trPr>
        <w:tc>
          <w:tcPr>
            <w:tcW w:w="1714" w:type="dxa"/>
            <w:vAlign w:val="center"/>
          </w:tcPr>
          <w:p w14:paraId="011BC4EE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3511A35E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36B64258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5291160C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65BDAC9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4" w:hRule="exact"/>
          <w:jc w:val="center"/>
        </w:trPr>
        <w:tc>
          <w:tcPr>
            <w:tcW w:w="1714" w:type="dxa"/>
            <w:vAlign w:val="center"/>
          </w:tcPr>
          <w:p w14:paraId="0DE46817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61B72F52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3A49F156">
      <w:pPr>
        <w:spacing w:line="360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EF7619">
    <w:pPr>
      <w:pStyle w:val="10"/>
      <w:jc w:val="right"/>
      <w:rPr>
        <w:rFonts w:ascii="宋体" w:hAnsi="宋体" w:eastAsia="宋体"/>
      </w:rPr>
    </w:pPr>
    <w:r>
      <w:rPr>
        <w:rFonts w:ascii="宋体" w:hAnsi="宋体" w:eastAsia="宋体"/>
      </w:rPr>
      <w:fldChar w:fldCharType="begin"/>
    </w:r>
    <w:r>
      <w:rPr>
        <w:rStyle w:val="17"/>
        <w:rFonts w:ascii="宋体" w:hAnsi="宋体" w:eastAsia="宋体"/>
      </w:rPr>
      <w:instrText xml:space="preserve"> PAGE </w:instrText>
    </w:r>
    <w:r>
      <w:rPr>
        <w:rFonts w:ascii="宋体" w:hAnsi="宋体" w:eastAsia="宋体"/>
      </w:rPr>
      <w:fldChar w:fldCharType="separate"/>
    </w:r>
    <w:r>
      <w:rPr>
        <w:rStyle w:val="17"/>
        <w:rFonts w:ascii="宋体" w:hAnsi="宋体" w:eastAsia="宋体"/>
      </w:rPr>
      <w:t>1</w:t>
    </w:r>
    <w:r>
      <w:rPr>
        <w:rFonts w:ascii="宋体" w:hAnsi="宋体" w:eastAsia="宋体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2D59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57ED7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6465"/>
    <w:rsid w:val="000C773E"/>
    <w:rsid w:val="000D22F6"/>
    <w:rsid w:val="000D358B"/>
    <w:rsid w:val="000E1B32"/>
    <w:rsid w:val="000E23B7"/>
    <w:rsid w:val="000E26E6"/>
    <w:rsid w:val="000E2F0F"/>
    <w:rsid w:val="000E4B89"/>
    <w:rsid w:val="000E523E"/>
    <w:rsid w:val="000E648A"/>
    <w:rsid w:val="000E6706"/>
    <w:rsid w:val="000E672F"/>
    <w:rsid w:val="000E76C5"/>
    <w:rsid w:val="000E7F3C"/>
    <w:rsid w:val="000F04F4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3772B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6B8F"/>
    <w:rsid w:val="00147E08"/>
    <w:rsid w:val="00150039"/>
    <w:rsid w:val="00150166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5CC"/>
    <w:rsid w:val="001639E3"/>
    <w:rsid w:val="00163B5A"/>
    <w:rsid w:val="00164B56"/>
    <w:rsid w:val="001664C1"/>
    <w:rsid w:val="00166A39"/>
    <w:rsid w:val="00166E6F"/>
    <w:rsid w:val="0017065C"/>
    <w:rsid w:val="00173A6C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010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3C24"/>
    <w:rsid w:val="001F41BE"/>
    <w:rsid w:val="001F4B94"/>
    <w:rsid w:val="001F56BE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283B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69D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3C9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48DF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1162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0EA6"/>
    <w:rsid w:val="00301546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2D43"/>
    <w:rsid w:val="003146DB"/>
    <w:rsid w:val="0031528E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04AC"/>
    <w:rsid w:val="00341672"/>
    <w:rsid w:val="00341CE3"/>
    <w:rsid w:val="0034280B"/>
    <w:rsid w:val="00342C7D"/>
    <w:rsid w:val="0034302D"/>
    <w:rsid w:val="00343610"/>
    <w:rsid w:val="00344245"/>
    <w:rsid w:val="003456FF"/>
    <w:rsid w:val="00346539"/>
    <w:rsid w:val="00350793"/>
    <w:rsid w:val="00350D39"/>
    <w:rsid w:val="00352E46"/>
    <w:rsid w:val="003537FE"/>
    <w:rsid w:val="003550EF"/>
    <w:rsid w:val="00355304"/>
    <w:rsid w:val="00355A7F"/>
    <w:rsid w:val="00356AEB"/>
    <w:rsid w:val="00357293"/>
    <w:rsid w:val="003602CE"/>
    <w:rsid w:val="00360A87"/>
    <w:rsid w:val="00362316"/>
    <w:rsid w:val="00363AE8"/>
    <w:rsid w:val="00370B31"/>
    <w:rsid w:val="0037148F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6A1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74D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877"/>
    <w:rsid w:val="003A7842"/>
    <w:rsid w:val="003B0F8B"/>
    <w:rsid w:val="003B21F7"/>
    <w:rsid w:val="003B2AF7"/>
    <w:rsid w:val="003B2E31"/>
    <w:rsid w:val="003B3D70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6489"/>
    <w:rsid w:val="00407465"/>
    <w:rsid w:val="0041025F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100B"/>
    <w:rsid w:val="004412A7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4E7"/>
    <w:rsid w:val="00452AFE"/>
    <w:rsid w:val="004540AB"/>
    <w:rsid w:val="00454ED2"/>
    <w:rsid w:val="004558DB"/>
    <w:rsid w:val="00455A28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19F1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2E2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1DFF"/>
    <w:rsid w:val="00532226"/>
    <w:rsid w:val="00532CCA"/>
    <w:rsid w:val="00533671"/>
    <w:rsid w:val="00534BD6"/>
    <w:rsid w:val="00535176"/>
    <w:rsid w:val="005351BF"/>
    <w:rsid w:val="00537551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850"/>
    <w:rsid w:val="00566DAE"/>
    <w:rsid w:val="00566EE4"/>
    <w:rsid w:val="00567B4B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77858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9FD"/>
    <w:rsid w:val="00597BA4"/>
    <w:rsid w:val="005A3433"/>
    <w:rsid w:val="005A3D35"/>
    <w:rsid w:val="005A42AD"/>
    <w:rsid w:val="005A47CE"/>
    <w:rsid w:val="005B3978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6A48"/>
    <w:rsid w:val="005C7F21"/>
    <w:rsid w:val="005D1187"/>
    <w:rsid w:val="005D1408"/>
    <w:rsid w:val="005D1D98"/>
    <w:rsid w:val="005D1DE1"/>
    <w:rsid w:val="005D28D8"/>
    <w:rsid w:val="005D2ACB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5877"/>
    <w:rsid w:val="00607E27"/>
    <w:rsid w:val="00607E30"/>
    <w:rsid w:val="00611941"/>
    <w:rsid w:val="00611DAE"/>
    <w:rsid w:val="00611E91"/>
    <w:rsid w:val="00612B85"/>
    <w:rsid w:val="00613C98"/>
    <w:rsid w:val="00614291"/>
    <w:rsid w:val="0061588D"/>
    <w:rsid w:val="00615EE0"/>
    <w:rsid w:val="00616465"/>
    <w:rsid w:val="006169AA"/>
    <w:rsid w:val="00616B3A"/>
    <w:rsid w:val="00617EF0"/>
    <w:rsid w:val="00621E38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3D7E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22BA"/>
    <w:rsid w:val="00653208"/>
    <w:rsid w:val="00653283"/>
    <w:rsid w:val="00653B3B"/>
    <w:rsid w:val="00653B82"/>
    <w:rsid w:val="0065420C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24A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5E6F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A7E29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17E7"/>
    <w:rsid w:val="006C633D"/>
    <w:rsid w:val="006C6A50"/>
    <w:rsid w:val="006C7439"/>
    <w:rsid w:val="006C7DFE"/>
    <w:rsid w:val="006D0120"/>
    <w:rsid w:val="006D15D4"/>
    <w:rsid w:val="006D2302"/>
    <w:rsid w:val="006D3179"/>
    <w:rsid w:val="006D4EE4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0CAB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DC1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0BE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28C"/>
    <w:rsid w:val="00756D26"/>
    <w:rsid w:val="00757380"/>
    <w:rsid w:val="00760322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334F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1E89"/>
    <w:rsid w:val="007E3D1E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17E"/>
    <w:rsid w:val="0081443E"/>
    <w:rsid w:val="00814E0F"/>
    <w:rsid w:val="008158BC"/>
    <w:rsid w:val="00816C4C"/>
    <w:rsid w:val="00816FC8"/>
    <w:rsid w:val="0081796D"/>
    <w:rsid w:val="008229A8"/>
    <w:rsid w:val="008232D4"/>
    <w:rsid w:val="008233D9"/>
    <w:rsid w:val="00824448"/>
    <w:rsid w:val="008247D5"/>
    <w:rsid w:val="00825847"/>
    <w:rsid w:val="00825A6E"/>
    <w:rsid w:val="008260E9"/>
    <w:rsid w:val="008266D5"/>
    <w:rsid w:val="00831005"/>
    <w:rsid w:val="008318CE"/>
    <w:rsid w:val="008325E4"/>
    <w:rsid w:val="00832D08"/>
    <w:rsid w:val="00833819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62D"/>
    <w:rsid w:val="0084287A"/>
    <w:rsid w:val="0084483A"/>
    <w:rsid w:val="008459FF"/>
    <w:rsid w:val="00850174"/>
    <w:rsid w:val="00850617"/>
    <w:rsid w:val="00850CD7"/>
    <w:rsid w:val="00851209"/>
    <w:rsid w:val="00851C09"/>
    <w:rsid w:val="008531AF"/>
    <w:rsid w:val="00854723"/>
    <w:rsid w:val="00854B59"/>
    <w:rsid w:val="00856EC6"/>
    <w:rsid w:val="00860991"/>
    <w:rsid w:val="00862303"/>
    <w:rsid w:val="008634C0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87B67"/>
    <w:rsid w:val="00890990"/>
    <w:rsid w:val="008911FE"/>
    <w:rsid w:val="00891B60"/>
    <w:rsid w:val="00893D21"/>
    <w:rsid w:val="00893E78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676B"/>
    <w:rsid w:val="008C7019"/>
    <w:rsid w:val="008C76B1"/>
    <w:rsid w:val="008D0FD0"/>
    <w:rsid w:val="008D2599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8F78BF"/>
    <w:rsid w:val="009004A5"/>
    <w:rsid w:val="009015C7"/>
    <w:rsid w:val="00901743"/>
    <w:rsid w:val="009017A7"/>
    <w:rsid w:val="00902063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4A62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32B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CD4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8D2"/>
    <w:rsid w:val="009C0E22"/>
    <w:rsid w:val="009C0E70"/>
    <w:rsid w:val="009C0F03"/>
    <w:rsid w:val="009C4616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BBE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518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59F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218F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AB7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3CF7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1356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97E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96AC1"/>
    <w:rsid w:val="00BA16E2"/>
    <w:rsid w:val="00BA1F05"/>
    <w:rsid w:val="00BA30D6"/>
    <w:rsid w:val="00BA315C"/>
    <w:rsid w:val="00BA45F0"/>
    <w:rsid w:val="00BA4E1D"/>
    <w:rsid w:val="00BA79E5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338"/>
    <w:rsid w:val="00BB6939"/>
    <w:rsid w:val="00BB7D49"/>
    <w:rsid w:val="00BB7F59"/>
    <w:rsid w:val="00BC4B1B"/>
    <w:rsid w:val="00BC51C6"/>
    <w:rsid w:val="00BC5F6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409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19EE"/>
    <w:rsid w:val="00BF3197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4654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6E57"/>
    <w:rsid w:val="00C3795C"/>
    <w:rsid w:val="00C37C4D"/>
    <w:rsid w:val="00C37EB9"/>
    <w:rsid w:val="00C404C6"/>
    <w:rsid w:val="00C41614"/>
    <w:rsid w:val="00C41982"/>
    <w:rsid w:val="00C41BAA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7DB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128C"/>
    <w:rsid w:val="00CC14D1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862"/>
    <w:rsid w:val="00D21CA9"/>
    <w:rsid w:val="00D21DCF"/>
    <w:rsid w:val="00D22198"/>
    <w:rsid w:val="00D228AB"/>
    <w:rsid w:val="00D22B81"/>
    <w:rsid w:val="00D2398B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3CC9"/>
    <w:rsid w:val="00DB6912"/>
    <w:rsid w:val="00DB6A7F"/>
    <w:rsid w:val="00DC0394"/>
    <w:rsid w:val="00DC1569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1871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E760A"/>
    <w:rsid w:val="00DF210D"/>
    <w:rsid w:val="00DF2A02"/>
    <w:rsid w:val="00DF31AC"/>
    <w:rsid w:val="00DF39C4"/>
    <w:rsid w:val="00DF68C7"/>
    <w:rsid w:val="00E0098E"/>
    <w:rsid w:val="00E01939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9F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1ED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531"/>
    <w:rsid w:val="00E83F90"/>
    <w:rsid w:val="00E8569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6C73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0D4B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5FFB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6875"/>
    <w:rsid w:val="00F47CBE"/>
    <w:rsid w:val="00F50E64"/>
    <w:rsid w:val="00F51B20"/>
    <w:rsid w:val="00F51E1A"/>
    <w:rsid w:val="00F5260B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09BA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1E95"/>
    <w:rsid w:val="00FB3225"/>
    <w:rsid w:val="00FB3FFC"/>
    <w:rsid w:val="00FB683F"/>
    <w:rsid w:val="00FC20F2"/>
    <w:rsid w:val="00FC2ACD"/>
    <w:rsid w:val="00FC2EB6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495D"/>
    <w:rsid w:val="00FE4C6C"/>
    <w:rsid w:val="00FE796B"/>
    <w:rsid w:val="00FF0534"/>
    <w:rsid w:val="00FF1012"/>
    <w:rsid w:val="00FF14B0"/>
    <w:rsid w:val="00FF1FDE"/>
    <w:rsid w:val="00FF37FC"/>
    <w:rsid w:val="00FF4819"/>
    <w:rsid w:val="00FF4E3E"/>
    <w:rsid w:val="00FF564B"/>
    <w:rsid w:val="00FF67B4"/>
    <w:rsid w:val="00FF6BB6"/>
    <w:rsid w:val="00FF7A90"/>
    <w:rsid w:val="00FF7EEC"/>
    <w:rsid w:val="6097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uiPriority w:val="0"/>
    <w:pPr>
      <w:shd w:val="clear" w:color="auto" w:fill="000080"/>
    </w:pPr>
  </w:style>
  <w:style w:type="paragraph" w:styleId="5">
    <w:name w:val="Body Text"/>
    <w:basedOn w:val="1"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uiPriority w:val="0"/>
  </w:style>
  <w:style w:type="character" w:styleId="18">
    <w:name w:val="Hyperlink"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D108A-6944-4483-8A6A-90E6D4A096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6</Pages>
  <Words>1956</Words>
  <Characters>2287</Characters>
  <Lines>20</Lines>
  <Paragraphs>5</Paragraphs>
  <TotalTime>2656</TotalTime>
  <ScaleCrop>false</ScaleCrop>
  <LinksUpToDate>false</LinksUpToDate>
  <CharactersWithSpaces>2597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2025-01-11T11:55:00Z</cp:lastPrinted>
  <dcterms:modified xsi:type="dcterms:W3CDTF">2025-06-16T11:19:06Z</dcterms:modified>
  <dc:title>关于09年全国高职院校技能邀请赛“楼宇自动化技术”项目举办培训班的通知</dc:title>
  <cp:revision>622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58474F0C871F4772AF9C66CD6AB18468_12</vt:lpwstr>
  </property>
</Properties>
</file>